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E239B9C" w:rsidR="00E66558" w:rsidRDefault="00216E56">
            <w:pPr>
              <w:pStyle w:val="TableRow"/>
            </w:pPr>
            <w:r>
              <w:t>Samuel Ward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263A86" w:rsidR="00E66558" w:rsidRDefault="00D17C06">
            <w:pPr>
              <w:pStyle w:val="TableRow"/>
            </w:pPr>
            <w:r>
              <w:t>1071 (</w:t>
            </w:r>
            <w:proofErr w:type="spellStart"/>
            <w:r>
              <w:t>excl</w:t>
            </w:r>
            <w:proofErr w:type="spellEnd"/>
            <w:r>
              <w:t xml:space="preserve"> Sixth Form)</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D11EEEC" w:rsidR="00E66558" w:rsidRDefault="00D17C06">
            <w:pPr>
              <w:pStyle w:val="TableRow"/>
            </w:pPr>
            <w:r>
              <w:t>20.6%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62283E7" w:rsidR="00E66558" w:rsidRDefault="00216E56">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6022472" w:rsidR="00E66558" w:rsidRDefault="00216E56">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136467" w:rsidR="00E66558" w:rsidRDefault="00216E56">
            <w:pPr>
              <w:pStyle w:val="TableRow"/>
            </w:pPr>
            <w:r>
              <w:t>Apri</w:t>
            </w:r>
            <w:r w:rsidR="00D17C06">
              <w:t>l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7A154A7" w:rsidR="00E66558" w:rsidRDefault="00216E56">
            <w:pPr>
              <w:pStyle w:val="TableRow"/>
            </w:pPr>
            <w:r>
              <w:t>Kev Geall, 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0C846A" w:rsidR="00E66558" w:rsidRDefault="00216E56">
            <w:pPr>
              <w:pStyle w:val="TableRow"/>
            </w:pPr>
            <w:r>
              <w:t>Sue Kehr, 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2F6A2" w14:textId="2983A5FD" w:rsidR="00E66558" w:rsidRDefault="009D71E8">
            <w:pPr>
              <w:pStyle w:val="TableRow"/>
            </w:pPr>
            <w:r>
              <w:t>£</w:t>
            </w:r>
            <w:r w:rsidR="000E36FC">
              <w:t>167,000</w:t>
            </w:r>
          </w:p>
          <w:p w14:paraId="2A7D54D8" w14:textId="3F51BC05" w:rsidR="00DB7738" w:rsidRPr="000102D7" w:rsidRDefault="00DB7738" w:rsidP="000102D7">
            <w:pPr>
              <w:rPr>
                <w:rFonts w:cs="Arial"/>
              </w:rPr>
            </w:pPr>
            <w:r>
              <w:t>2020-21</w:t>
            </w:r>
            <w:r w:rsidR="000102D7">
              <w:t xml:space="preserve">: </w:t>
            </w:r>
            <w:r w:rsidRPr="000102D7">
              <w:rPr>
                <w:color w:val="000000"/>
              </w:rPr>
              <w:t>£</w:t>
            </w:r>
            <w:r w:rsidR="000102D7">
              <w:rPr>
                <w:color w:val="000000"/>
              </w:rPr>
              <w:t>190,000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84E0DC8" w:rsidR="00E66558" w:rsidRDefault="009D71E8">
            <w:pPr>
              <w:pStyle w:val="TableRow"/>
            </w:pPr>
            <w:r>
              <w:t>£</w:t>
            </w:r>
            <w:r w:rsidR="00D17C06">
              <w:t>80,000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573B100" w:rsidR="00E66558" w:rsidRDefault="009D71E8">
            <w:pPr>
              <w:pStyle w:val="TableRow"/>
            </w:pPr>
            <w:r>
              <w:t>£</w:t>
            </w:r>
            <w:r w:rsidR="00D17C0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lastRenderedPageBreak/>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A49E137" w:rsidR="00E66558" w:rsidRDefault="009D71E8">
            <w:pPr>
              <w:pStyle w:val="TableRow"/>
            </w:pPr>
            <w:r>
              <w:t>£</w:t>
            </w:r>
            <w:r w:rsidR="000102D7">
              <w:t>270,000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DDE5" w14:textId="77777777" w:rsidR="003D7242" w:rsidRPr="003D7242" w:rsidRDefault="003D7242" w:rsidP="003D7242">
            <w:pPr>
              <w:pStyle w:val="Default"/>
              <w:numPr>
                <w:ilvl w:val="0"/>
                <w:numId w:val="1"/>
              </w:numPr>
              <w:rPr>
                <w:rFonts w:ascii="Times New Roman" w:hAnsi="Times New Roman"/>
                <w:color w:val="auto"/>
                <w:sz w:val="20"/>
                <w:szCs w:val="20"/>
              </w:rPr>
            </w:pPr>
            <w:r>
              <w:rPr>
                <w:i/>
                <w:iCs/>
                <w:sz w:val="20"/>
                <w:szCs w:val="20"/>
              </w:rPr>
              <w:t xml:space="preserve">Our expectation at Samuel Ward Academy is that all pupils, irrespective of background or the challenges they face, become strong readers and accumulate the cultural capital needed to succeed in modern Britain. </w:t>
            </w:r>
          </w:p>
          <w:p w14:paraId="2B91F9AA" w14:textId="056EAA19" w:rsidR="003D7242" w:rsidRDefault="003D7242" w:rsidP="003D7242">
            <w:pPr>
              <w:pStyle w:val="Default"/>
              <w:numPr>
                <w:ilvl w:val="0"/>
                <w:numId w:val="1"/>
              </w:numPr>
              <w:rPr>
                <w:rFonts w:ascii="Times New Roman" w:hAnsi="Times New Roman"/>
                <w:color w:val="auto"/>
                <w:sz w:val="20"/>
                <w:szCs w:val="20"/>
              </w:rPr>
            </w:pPr>
            <w:r>
              <w:rPr>
                <w:i/>
                <w:iCs/>
                <w:sz w:val="20"/>
                <w:szCs w:val="20"/>
              </w:rPr>
              <w:t xml:space="preserve">We will use pupil premium funding to help us improve and sustain higher attainment for disadvantaged students until their achievement is at least as strong as non-disadvantaged students nationally.  </w:t>
            </w:r>
          </w:p>
          <w:p w14:paraId="2032D07F" w14:textId="4B3910F8" w:rsidR="003D7242" w:rsidRDefault="003D7242" w:rsidP="003D7242">
            <w:pPr>
              <w:pStyle w:val="Default"/>
              <w:rPr>
                <w:rFonts w:ascii="Times New Roman" w:hAnsi="Times New Roman"/>
                <w:color w:val="auto"/>
                <w:sz w:val="20"/>
                <w:szCs w:val="20"/>
              </w:rPr>
            </w:pPr>
            <w:r>
              <w:rPr>
                <w:i/>
                <w:iCs/>
                <w:sz w:val="20"/>
                <w:szCs w:val="20"/>
              </w:rPr>
              <w:t xml:space="preserve"> </w:t>
            </w:r>
          </w:p>
          <w:p w14:paraId="44766DDC" w14:textId="4D9A0B6C" w:rsidR="003D7242" w:rsidRPr="003D7242" w:rsidRDefault="003D7242" w:rsidP="003D7242">
            <w:pPr>
              <w:pStyle w:val="Default"/>
              <w:numPr>
                <w:ilvl w:val="0"/>
                <w:numId w:val="1"/>
              </w:numPr>
              <w:rPr>
                <w:rFonts w:ascii="Times New Roman" w:hAnsi="Times New Roman"/>
                <w:color w:val="auto"/>
                <w:sz w:val="20"/>
                <w:szCs w:val="20"/>
              </w:rPr>
            </w:pPr>
            <w:r>
              <w:rPr>
                <w:i/>
                <w:iCs/>
                <w:sz w:val="20"/>
                <w:szCs w:val="20"/>
              </w:rPr>
              <w:t xml:space="preserve">During the period of this strategy plan we will focus on the key challenges that are preventing our disadvantaged pupils from attaining well: reading, attendance and expectations. Our approach will consider each student’s individual needs, rooted in robust diagnostic assessment, not assumptions about the impact of disadvantage. </w:t>
            </w:r>
          </w:p>
          <w:p w14:paraId="63E7563F" w14:textId="77777777" w:rsidR="003D7242" w:rsidRDefault="003D7242" w:rsidP="003D7242">
            <w:pPr>
              <w:pStyle w:val="Default"/>
              <w:rPr>
                <w:i/>
                <w:iCs/>
                <w:sz w:val="20"/>
                <w:szCs w:val="20"/>
              </w:rPr>
            </w:pPr>
          </w:p>
          <w:p w14:paraId="0822E8C1" w14:textId="0F91B55C" w:rsidR="003D7242" w:rsidRDefault="003D7242" w:rsidP="003D7242">
            <w:pPr>
              <w:pStyle w:val="Default"/>
              <w:rPr>
                <w:sz w:val="20"/>
                <w:szCs w:val="20"/>
              </w:rPr>
            </w:pPr>
            <w:r>
              <w:rPr>
                <w:i/>
                <w:iCs/>
                <w:sz w:val="20"/>
                <w:szCs w:val="20"/>
              </w:rPr>
              <w:t xml:space="preserve">The approaches we have adopted complement each other to help pupils to excel. To ensure they are effective we will: </w:t>
            </w:r>
          </w:p>
          <w:p w14:paraId="3E47FB25" w14:textId="63F6CC65" w:rsidR="003D7242" w:rsidRPr="003D7242" w:rsidRDefault="003D7242" w:rsidP="001535B1">
            <w:pPr>
              <w:pStyle w:val="Default"/>
              <w:numPr>
                <w:ilvl w:val="0"/>
                <w:numId w:val="16"/>
              </w:numPr>
              <w:rPr>
                <w:i/>
                <w:sz w:val="20"/>
                <w:szCs w:val="20"/>
              </w:rPr>
            </w:pPr>
            <w:r w:rsidRPr="003D7242">
              <w:rPr>
                <w:i/>
                <w:sz w:val="20"/>
                <w:szCs w:val="20"/>
              </w:rPr>
              <w:t xml:space="preserve">ensure disadvantaged pupils are challenged in the work that they’re set </w:t>
            </w:r>
          </w:p>
          <w:p w14:paraId="2B987E5F" w14:textId="19DF52CD" w:rsidR="003D7242" w:rsidRPr="003D7242" w:rsidRDefault="003D7242" w:rsidP="001535B1">
            <w:pPr>
              <w:pStyle w:val="Default"/>
              <w:numPr>
                <w:ilvl w:val="0"/>
                <w:numId w:val="16"/>
              </w:numPr>
              <w:rPr>
                <w:i/>
                <w:sz w:val="20"/>
                <w:szCs w:val="20"/>
              </w:rPr>
            </w:pPr>
            <w:r w:rsidRPr="003D7242">
              <w:rPr>
                <w:i/>
                <w:sz w:val="20"/>
                <w:szCs w:val="20"/>
              </w:rPr>
              <w:t>regular</w:t>
            </w:r>
            <w:r>
              <w:rPr>
                <w:i/>
                <w:sz w:val="20"/>
                <w:szCs w:val="20"/>
              </w:rPr>
              <w:t>ly</w:t>
            </w:r>
            <w:r w:rsidRPr="003D7242">
              <w:rPr>
                <w:i/>
                <w:sz w:val="20"/>
                <w:szCs w:val="20"/>
              </w:rPr>
              <w:t xml:space="preserve"> review the needs of each individual disadvantaged student</w:t>
            </w:r>
            <w:r>
              <w:rPr>
                <w:i/>
                <w:sz w:val="20"/>
                <w:szCs w:val="20"/>
              </w:rPr>
              <w:t>s</w:t>
            </w:r>
            <w:r w:rsidRPr="003D7242">
              <w:rPr>
                <w:i/>
                <w:sz w:val="20"/>
                <w:szCs w:val="20"/>
              </w:rPr>
              <w:t xml:space="preserve"> and implement evidence-informed interventions </w:t>
            </w:r>
          </w:p>
          <w:p w14:paraId="0CC57E7A" w14:textId="4AD43046" w:rsidR="003D7242" w:rsidRPr="003D7242" w:rsidRDefault="003D7242" w:rsidP="001535B1">
            <w:pPr>
              <w:pStyle w:val="Default"/>
              <w:numPr>
                <w:ilvl w:val="0"/>
                <w:numId w:val="16"/>
              </w:numPr>
              <w:rPr>
                <w:sz w:val="20"/>
                <w:szCs w:val="20"/>
              </w:rPr>
            </w:pPr>
            <w:r>
              <w:rPr>
                <w:i/>
                <w:iCs/>
                <w:sz w:val="20"/>
                <w:szCs w:val="20"/>
              </w:rPr>
              <w:t>adopt a whole school approach in which all staff take responsibility for disadvantaged pupils’ outcomes and raise expectations of what they can achieve</w:t>
            </w:r>
          </w:p>
          <w:p w14:paraId="2A7D54E9" w14:textId="42AC22D5" w:rsidR="003D7242" w:rsidRPr="003D7242" w:rsidRDefault="003D7242" w:rsidP="003D7242">
            <w:pPr>
              <w:rPr>
                <w:i/>
                <w:iCs/>
              </w:rPr>
            </w:pPr>
          </w:p>
        </w:tc>
      </w:tr>
      <w:tr w:rsidR="003D7242" w14:paraId="555D54C9"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F96B" w14:textId="77777777" w:rsidR="003D7242" w:rsidRDefault="003D7242" w:rsidP="003D7242">
            <w:pPr>
              <w:pStyle w:val="Default"/>
              <w:numPr>
                <w:ilvl w:val="0"/>
                <w:numId w:val="1"/>
              </w:numPr>
              <w:rPr>
                <w:i/>
                <w:iCs/>
                <w:sz w:val="20"/>
                <w:szCs w:val="20"/>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9F8E" w14:textId="3EE9183E" w:rsidR="00E66558" w:rsidRPr="002E3C09" w:rsidRDefault="006F1A9C">
            <w:pPr>
              <w:pStyle w:val="TableRowCentered"/>
              <w:jc w:val="left"/>
              <w:rPr>
                <w:i/>
                <w:iCs/>
                <w:sz w:val="22"/>
                <w:szCs w:val="22"/>
              </w:rPr>
            </w:pPr>
            <w:r w:rsidRPr="002E3C09">
              <w:rPr>
                <w:i/>
                <w:iCs/>
                <w:sz w:val="22"/>
                <w:szCs w:val="22"/>
              </w:rPr>
              <w:t xml:space="preserve">Our </w:t>
            </w:r>
            <w:proofErr w:type="spellStart"/>
            <w:r w:rsidR="00981BF0" w:rsidRPr="002E3C09">
              <w:rPr>
                <w:i/>
                <w:iCs/>
                <w:sz w:val="22"/>
                <w:szCs w:val="22"/>
              </w:rPr>
              <w:t>biannial</w:t>
            </w:r>
            <w:proofErr w:type="spellEnd"/>
            <w:r w:rsidR="00981BF0" w:rsidRPr="002E3C09">
              <w:rPr>
                <w:i/>
                <w:iCs/>
                <w:sz w:val="22"/>
                <w:szCs w:val="22"/>
              </w:rPr>
              <w:t xml:space="preserve"> formal Maths and English assessments and routine assessments reveal a reading/vocabulary gap between our disadvantaged and non-disadvantaged students. </w:t>
            </w:r>
          </w:p>
          <w:p w14:paraId="5152F5AF" w14:textId="204503B9" w:rsidR="00981BF0" w:rsidRPr="002E3C09" w:rsidRDefault="0000236B">
            <w:pPr>
              <w:pStyle w:val="TableRowCentered"/>
              <w:jc w:val="left"/>
              <w:rPr>
                <w:sz w:val="22"/>
                <w:szCs w:val="22"/>
              </w:rPr>
            </w:pPr>
            <w:r w:rsidRPr="002E3C09">
              <w:rPr>
                <w:sz w:val="22"/>
                <w:szCs w:val="22"/>
              </w:rPr>
              <w:t>For example, i</w:t>
            </w:r>
            <w:r w:rsidR="00981BF0" w:rsidRPr="002E3C09">
              <w:rPr>
                <w:sz w:val="22"/>
                <w:szCs w:val="22"/>
              </w:rPr>
              <w:t xml:space="preserve">n year ten 22% of disadvantaged students have an English standardised age score below 90. This compares to 15% of the non-disadvantaged. </w:t>
            </w:r>
          </w:p>
          <w:p w14:paraId="2A7D54F1" w14:textId="40240CFF" w:rsidR="00981BF0" w:rsidRPr="002E3C09" w:rsidRDefault="00981BF0">
            <w:pPr>
              <w:pStyle w:val="TableRowCentered"/>
              <w:jc w:val="left"/>
              <w:rPr>
                <w:sz w:val="22"/>
                <w:szCs w:val="22"/>
              </w:rPr>
            </w:pPr>
            <w:r w:rsidRPr="002E3C09">
              <w:rPr>
                <w:sz w:val="22"/>
                <w:szCs w:val="22"/>
              </w:rPr>
              <w:t xml:space="preserve">In year </w:t>
            </w:r>
            <w:r w:rsidR="00C25A8B" w:rsidRPr="002E3C09">
              <w:rPr>
                <w:sz w:val="22"/>
                <w:szCs w:val="22"/>
              </w:rPr>
              <w:t>eight</w:t>
            </w:r>
            <w:r w:rsidRPr="002E3C09">
              <w:rPr>
                <w:sz w:val="22"/>
                <w:szCs w:val="22"/>
              </w:rPr>
              <w:t xml:space="preserve"> the percentages with scores below 90 are </w:t>
            </w:r>
            <w:r w:rsidR="00C26E77">
              <w:rPr>
                <w:sz w:val="22"/>
                <w:szCs w:val="22"/>
              </w:rPr>
              <w:t xml:space="preserve">36% and 18% for disadvantaged and non-disadvantaged cohorts respectively.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E6C86A8" w:rsidR="00E66558" w:rsidRPr="002E3C09" w:rsidRDefault="0000236B" w:rsidP="0000236B">
            <w:pPr>
              <w:pStyle w:val="Default"/>
              <w:numPr>
                <w:ilvl w:val="0"/>
                <w:numId w:val="1"/>
              </w:numPr>
              <w:rPr>
                <w:rFonts w:ascii="Times New Roman" w:hAnsi="Times New Roman"/>
                <w:color w:val="auto"/>
                <w:sz w:val="22"/>
                <w:szCs w:val="22"/>
              </w:rPr>
            </w:pPr>
            <w:r w:rsidRPr="002E3C09">
              <w:rPr>
                <w:i/>
                <w:iCs/>
                <w:sz w:val="22"/>
                <w:szCs w:val="22"/>
              </w:rPr>
              <w:t xml:space="preserve">Our assessments, observations and discussions with families show that many of our disadvantaged pupils’ education has been disproportionately impacted by partial school closures. These findings are backed up by </w:t>
            </w:r>
            <w:proofErr w:type="gramStart"/>
            <w:r w:rsidRPr="002E3C09">
              <w:rPr>
                <w:i/>
                <w:iCs/>
                <w:sz w:val="22"/>
                <w:szCs w:val="22"/>
              </w:rPr>
              <w:t>a number of</w:t>
            </w:r>
            <w:proofErr w:type="gramEnd"/>
            <w:r w:rsidRPr="002E3C09">
              <w:rPr>
                <w:i/>
                <w:iCs/>
                <w:sz w:val="22"/>
                <w:szCs w:val="22"/>
              </w:rPr>
              <w:t xml:space="preserve"> national studies on partial school closures.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4484" w14:textId="2D86A948" w:rsidR="00A2375B" w:rsidRPr="002E3C09" w:rsidRDefault="00A2375B" w:rsidP="00A2375B">
            <w:pPr>
              <w:pStyle w:val="Default"/>
              <w:rPr>
                <w:i/>
                <w:iCs/>
                <w:sz w:val="22"/>
                <w:szCs w:val="22"/>
              </w:rPr>
            </w:pPr>
            <w:r w:rsidRPr="002E3C09">
              <w:rPr>
                <w:i/>
                <w:iCs/>
                <w:sz w:val="22"/>
                <w:szCs w:val="22"/>
              </w:rPr>
              <w:t xml:space="preserve">Our analysis shows some disadvantaged pupils and families need additional support to secure and sustain better punctuality and attendance. </w:t>
            </w:r>
          </w:p>
          <w:p w14:paraId="22190972" w14:textId="77777777" w:rsidR="00A2375B" w:rsidRPr="002E3C09" w:rsidRDefault="00A2375B" w:rsidP="00A2375B">
            <w:pPr>
              <w:pStyle w:val="Default"/>
              <w:rPr>
                <w:sz w:val="22"/>
                <w:szCs w:val="22"/>
              </w:rPr>
            </w:pPr>
          </w:p>
          <w:p w14:paraId="17D04F80" w14:textId="15517C36" w:rsidR="00A2375B" w:rsidRPr="002E3C09" w:rsidRDefault="00A2375B" w:rsidP="00A2375B">
            <w:pPr>
              <w:pStyle w:val="Default"/>
              <w:numPr>
                <w:ilvl w:val="0"/>
                <w:numId w:val="1"/>
              </w:numPr>
              <w:rPr>
                <w:rFonts w:ascii="Times New Roman" w:hAnsi="Times New Roman"/>
                <w:color w:val="auto"/>
                <w:sz w:val="22"/>
                <w:szCs w:val="22"/>
              </w:rPr>
            </w:pPr>
            <w:r w:rsidRPr="002E3C09">
              <w:rPr>
                <w:iCs/>
                <w:sz w:val="22"/>
                <w:szCs w:val="22"/>
              </w:rPr>
              <w:t>At present,</w:t>
            </w:r>
            <w:r w:rsidR="00CF70E9">
              <w:rPr>
                <w:iCs/>
                <w:sz w:val="22"/>
                <w:szCs w:val="22"/>
              </w:rPr>
              <w:t xml:space="preserve"> o</w:t>
            </w:r>
            <w:r w:rsidRPr="002E3C09">
              <w:rPr>
                <w:iCs/>
                <w:sz w:val="22"/>
                <w:szCs w:val="22"/>
              </w:rPr>
              <w:t xml:space="preserve">ur in-school attendance gap for our Pupil Premium pupils is </w:t>
            </w:r>
            <w:r w:rsidR="00C26E77">
              <w:rPr>
                <w:iCs/>
                <w:sz w:val="22"/>
                <w:szCs w:val="22"/>
              </w:rPr>
              <w:t>6</w:t>
            </w:r>
            <w:r w:rsidR="00EB7C20">
              <w:rPr>
                <w:iCs/>
                <w:sz w:val="22"/>
                <w:szCs w:val="22"/>
              </w:rPr>
              <w:t>.</w:t>
            </w:r>
            <w:r w:rsidR="00C26E77">
              <w:rPr>
                <w:iCs/>
                <w:sz w:val="22"/>
                <w:szCs w:val="22"/>
              </w:rPr>
              <w:t>8</w:t>
            </w:r>
            <w:r w:rsidRPr="002E3C09">
              <w:rPr>
                <w:iCs/>
                <w:sz w:val="22"/>
                <w:szCs w:val="22"/>
              </w:rPr>
              <w:t>% for the academic year 202</w:t>
            </w:r>
            <w:r w:rsidR="00C26E77">
              <w:rPr>
                <w:iCs/>
                <w:sz w:val="22"/>
                <w:szCs w:val="22"/>
              </w:rPr>
              <w:t>1</w:t>
            </w:r>
            <w:r w:rsidRPr="002E3C09">
              <w:rPr>
                <w:iCs/>
                <w:sz w:val="22"/>
                <w:szCs w:val="22"/>
              </w:rPr>
              <w:t>-202</w:t>
            </w:r>
            <w:r w:rsidR="00C26E77">
              <w:rPr>
                <w:iCs/>
                <w:sz w:val="22"/>
                <w:szCs w:val="22"/>
              </w:rPr>
              <w:t>2</w:t>
            </w:r>
            <w:r w:rsidRPr="002E3C09">
              <w:rPr>
                <w:iCs/>
                <w:sz w:val="22"/>
                <w:szCs w:val="22"/>
              </w:rPr>
              <w:t xml:space="preserve">. </w:t>
            </w:r>
            <w:r w:rsidR="00CF70E9">
              <w:rPr>
                <w:iCs/>
                <w:sz w:val="22"/>
                <w:szCs w:val="22"/>
              </w:rPr>
              <w:t>Persistent Absence figures need to be treated with some caution due to the pandemic and isolation.</w:t>
            </w:r>
            <w:r w:rsidR="00C26E77">
              <w:rPr>
                <w:iCs/>
                <w:sz w:val="22"/>
                <w:szCs w:val="22"/>
              </w:rPr>
              <w:t xml:space="preserve">  </w:t>
            </w:r>
            <w:bookmarkStart w:id="16" w:name="_GoBack"/>
            <w:bookmarkEnd w:id="16"/>
            <w:r w:rsidR="00CF70E9">
              <w:rPr>
                <w:iCs/>
                <w:sz w:val="22"/>
                <w:szCs w:val="22"/>
              </w:rPr>
              <w:t xml:space="preserve">  </w:t>
            </w:r>
          </w:p>
          <w:p w14:paraId="2A7D54F7" w14:textId="77777777" w:rsidR="00E66558" w:rsidRPr="002E3C09"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FCEF" w14:textId="3AED9B9C" w:rsidR="00A2375B" w:rsidRPr="002E3C09" w:rsidRDefault="00A2375B" w:rsidP="00A2375B">
            <w:pPr>
              <w:pStyle w:val="Default"/>
              <w:rPr>
                <w:i/>
                <w:iCs/>
                <w:sz w:val="22"/>
                <w:szCs w:val="22"/>
              </w:rPr>
            </w:pPr>
            <w:r w:rsidRPr="002E3C09">
              <w:rPr>
                <w:i/>
                <w:iCs/>
                <w:sz w:val="22"/>
                <w:szCs w:val="22"/>
              </w:rPr>
              <w:t xml:space="preserve">Our assessments, discussions and observations have identified social and emotional / self-confidence issues for some disadvantaged pupils. </w:t>
            </w:r>
          </w:p>
          <w:p w14:paraId="48777CC6" w14:textId="77777777" w:rsidR="00A2375B" w:rsidRPr="002E3C09" w:rsidRDefault="00A2375B" w:rsidP="00A2375B">
            <w:pPr>
              <w:pStyle w:val="Default"/>
              <w:rPr>
                <w:sz w:val="22"/>
                <w:szCs w:val="22"/>
              </w:rPr>
            </w:pPr>
          </w:p>
          <w:p w14:paraId="2A7D54FA" w14:textId="463D4B35" w:rsidR="00E66558" w:rsidRPr="002E3C09" w:rsidRDefault="002E3C09" w:rsidP="00A2375B">
            <w:pPr>
              <w:pStyle w:val="Default"/>
              <w:numPr>
                <w:ilvl w:val="0"/>
                <w:numId w:val="1"/>
              </w:numPr>
              <w:rPr>
                <w:iCs/>
                <w:sz w:val="22"/>
                <w:szCs w:val="22"/>
              </w:rPr>
            </w:pPr>
            <w:r w:rsidRPr="002E3C09">
              <w:rPr>
                <w:iCs/>
                <w:sz w:val="22"/>
                <w:szCs w:val="22"/>
              </w:rPr>
              <w:t xml:space="preserve">The needs of individual students are considered in our weekly triage “Laurel” meetings and strategies put in place.  Our whole school focus on trauma awareness and a pilot group of </w:t>
            </w:r>
            <w:r w:rsidRPr="002E3C09">
              <w:rPr>
                <w:iCs/>
                <w:color w:val="FF0000"/>
                <w:sz w:val="22"/>
                <w:szCs w:val="22"/>
              </w:rPr>
              <w:t>18</w:t>
            </w:r>
            <w:r w:rsidRPr="002E3C09">
              <w:rPr>
                <w:iCs/>
                <w:sz w:val="22"/>
                <w:szCs w:val="22"/>
              </w:rPr>
              <w:t xml:space="preserve"> students complements work in this area.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307DC"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E5CB39" w:rsidR="00C307DC" w:rsidRPr="00C307DC" w:rsidRDefault="00C307DC" w:rsidP="00C307DC">
            <w:pPr>
              <w:pStyle w:val="TableRow"/>
              <w:rPr>
                <w:sz w:val="22"/>
              </w:rPr>
            </w:pPr>
            <w:r w:rsidRPr="00C307DC">
              <w:rPr>
                <w:i/>
                <w:iCs/>
                <w:sz w:val="22"/>
                <w:szCs w:val="20"/>
              </w:rPr>
              <w:t xml:space="preserve">Improved reading and use of language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81F41C3" w:rsidR="00C307DC" w:rsidRPr="00C307DC" w:rsidRDefault="00C307DC" w:rsidP="00C307DC">
            <w:pPr>
              <w:pStyle w:val="TableRowCentered"/>
              <w:jc w:val="left"/>
              <w:rPr>
                <w:sz w:val="22"/>
                <w:szCs w:val="22"/>
              </w:rPr>
            </w:pPr>
            <w:r w:rsidRPr="00C307DC">
              <w:rPr>
                <w:iCs/>
                <w:sz w:val="22"/>
              </w:rPr>
              <w:t xml:space="preserve">Standard age score for disadvantaged students improves rapidly, halving the gap to wider cohort during each key stage.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2802666" w:rsidR="00E66558" w:rsidRPr="00C307DC" w:rsidRDefault="00C307DC">
            <w:pPr>
              <w:pStyle w:val="TableRow"/>
              <w:rPr>
                <w:i/>
                <w:sz w:val="22"/>
                <w:szCs w:val="22"/>
              </w:rPr>
            </w:pPr>
            <w:r w:rsidRPr="00C307DC">
              <w:rPr>
                <w:i/>
                <w:sz w:val="22"/>
                <w:szCs w:val="22"/>
              </w:rPr>
              <w:t>Improve attendance of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24AAA4F" w:rsidR="00E66558" w:rsidRPr="00C307DC" w:rsidRDefault="00C307DC" w:rsidP="00C307DC">
            <w:pPr>
              <w:pStyle w:val="Default"/>
              <w:numPr>
                <w:ilvl w:val="0"/>
                <w:numId w:val="1"/>
              </w:numPr>
              <w:rPr>
                <w:sz w:val="22"/>
                <w:szCs w:val="22"/>
              </w:rPr>
            </w:pPr>
            <w:r w:rsidRPr="00C307DC">
              <w:rPr>
                <w:iCs/>
                <w:sz w:val="22"/>
                <w:szCs w:val="20"/>
              </w:rPr>
              <w:t xml:space="preserve">Attendance for disadvantaged pupils is at least 95% each half term. Disruption due to Covid-19 may make this target overly ambitious.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E5C8DA" w:rsidR="00E66558" w:rsidRPr="00C307DC" w:rsidRDefault="00C307DC">
            <w:pPr>
              <w:pStyle w:val="TableRow"/>
              <w:rPr>
                <w:i/>
                <w:sz w:val="22"/>
                <w:szCs w:val="22"/>
              </w:rPr>
            </w:pPr>
            <w:r w:rsidRPr="00C307DC">
              <w:rPr>
                <w:i/>
                <w:sz w:val="22"/>
                <w:szCs w:val="22"/>
              </w:rPr>
              <w:t xml:space="preserve">Improve achievement of disadvantaged students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0320CB5" w:rsidR="00E66558" w:rsidRPr="00C307DC" w:rsidRDefault="00C307DC">
            <w:pPr>
              <w:pStyle w:val="TableRowCentered"/>
              <w:jc w:val="left"/>
              <w:rPr>
                <w:sz w:val="22"/>
                <w:szCs w:val="22"/>
              </w:rPr>
            </w:pPr>
            <w:r w:rsidRPr="00C307DC">
              <w:rPr>
                <w:sz w:val="22"/>
                <w:szCs w:val="22"/>
              </w:rPr>
              <w:t xml:space="preserve">Progress 8 of disadvantages students to be at least 0.00, matching national achievement.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04EF061" w:rsidR="00E66558" w:rsidRPr="00A4040B" w:rsidRDefault="00A4040B">
            <w:pPr>
              <w:pStyle w:val="TableRow"/>
              <w:rPr>
                <w:i/>
                <w:sz w:val="22"/>
                <w:szCs w:val="22"/>
              </w:rPr>
            </w:pPr>
            <w:r w:rsidRPr="00A4040B">
              <w:rPr>
                <w:i/>
                <w:sz w:val="22"/>
                <w:szCs w:val="22"/>
              </w:rPr>
              <w:t xml:space="preserve">Disadvantaged students’ wellbeing and behaviour will be improved though through enhanced pastoral support and self-regulation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5D6436F" w:rsidR="00E66558" w:rsidRDefault="00A4040B">
            <w:pPr>
              <w:pStyle w:val="TableRowCentered"/>
              <w:jc w:val="left"/>
              <w:rPr>
                <w:sz w:val="22"/>
                <w:szCs w:val="22"/>
              </w:rPr>
            </w:pPr>
            <w:r>
              <w:rPr>
                <w:sz w:val="22"/>
                <w:szCs w:val="22"/>
              </w:rPr>
              <w:t xml:space="preserve">Referrals to The Study and outside agencies will decrease compared to 2019/20.  Ratio of positive to negative behaviour points to exceed 9:1.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926D06" w:rsidR="00E66558" w:rsidRDefault="009D71E8">
      <w:r>
        <w:t>Budgeted cost: £</w:t>
      </w:r>
      <w:r w:rsidR="00A4040B">
        <w:t>6</w:t>
      </w:r>
      <w:r w:rsidR="00F46EE5" w:rsidRPr="00F46EE5">
        <w:rPr>
          <w:iCs/>
        </w:rPr>
        <w:t>0,000</w:t>
      </w:r>
    </w:p>
    <w:tbl>
      <w:tblPr>
        <w:tblW w:w="5000" w:type="pct"/>
        <w:tblLayout w:type="fixed"/>
        <w:tblCellMar>
          <w:left w:w="10" w:type="dxa"/>
          <w:right w:w="10" w:type="dxa"/>
        </w:tblCellMar>
        <w:tblLook w:val="04A0" w:firstRow="1" w:lastRow="0" w:firstColumn="1" w:lastColumn="0" w:noHBand="0" w:noVBand="1"/>
      </w:tblPr>
      <w:tblGrid>
        <w:gridCol w:w="2830"/>
        <w:gridCol w:w="5043"/>
        <w:gridCol w:w="1613"/>
      </w:tblGrid>
      <w:tr w:rsidR="00E66558" w14:paraId="2A7D5519"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0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B38BC4B" w:rsidR="00E66558" w:rsidRPr="00CA3E72" w:rsidRDefault="00CA3E72">
            <w:pPr>
              <w:pStyle w:val="TableRow"/>
            </w:pPr>
            <w:r>
              <w:rPr>
                <w:iCs/>
                <w:sz w:val="22"/>
                <w:szCs w:val="22"/>
              </w:rPr>
              <w:t>Re-establishing safe, supportive ethos rooted in trauma-awareness and established routines</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30555" w14:textId="167AA7AD" w:rsidR="00CA3E72" w:rsidRDefault="00CA3E72" w:rsidP="00CA3E72">
            <w:pPr>
              <w:pStyle w:val="TableRowCentered"/>
              <w:ind w:left="0"/>
              <w:jc w:val="left"/>
              <w:rPr>
                <w:sz w:val="22"/>
              </w:rPr>
            </w:pPr>
            <w:r>
              <w:rPr>
                <w:sz w:val="22"/>
              </w:rPr>
              <w:t xml:space="preserve">First recommendation of EEF report: </w:t>
            </w:r>
          </w:p>
          <w:p w14:paraId="1AEB0193" w14:textId="77777777" w:rsidR="00CA3E72" w:rsidRDefault="00CA3E72">
            <w:pPr>
              <w:pStyle w:val="TableRowCentered"/>
              <w:jc w:val="left"/>
              <w:rPr>
                <w:sz w:val="22"/>
              </w:rPr>
            </w:pPr>
          </w:p>
          <w:p w14:paraId="47290D75" w14:textId="04440559" w:rsidR="00E66558" w:rsidRDefault="00C26E77">
            <w:pPr>
              <w:pStyle w:val="TableRowCentered"/>
              <w:jc w:val="left"/>
              <w:rPr>
                <w:sz w:val="22"/>
              </w:rPr>
            </w:pPr>
            <w:hyperlink r:id="rId9" w:history="1">
              <w:r w:rsidR="00CA3E72" w:rsidRPr="00B860E6">
                <w:rPr>
                  <w:rStyle w:val="Hyperlink"/>
                  <w:sz w:val="22"/>
                </w:rPr>
                <w:t>https://educationendowmentfoundation.org.uk/education-evidence/guidance-reports/behaviour</w:t>
              </w:r>
            </w:hyperlink>
          </w:p>
          <w:p w14:paraId="7AD85E49" w14:textId="77777777" w:rsidR="00CA3E72" w:rsidRDefault="00CA3E72">
            <w:pPr>
              <w:pStyle w:val="TableRowCentered"/>
              <w:jc w:val="left"/>
              <w:rPr>
                <w:sz w:val="22"/>
              </w:rPr>
            </w:pPr>
          </w:p>
          <w:p w14:paraId="2A7D551B" w14:textId="62A1F8F3" w:rsidR="00CA3E72" w:rsidRDefault="00CA3E72">
            <w:pPr>
              <w:pStyle w:val="TableRowCentered"/>
              <w:jc w:val="left"/>
              <w:rPr>
                <w:sz w:val="22"/>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EC9FB3" w:rsidR="00E66558" w:rsidRDefault="00CA3E72">
            <w:pPr>
              <w:pStyle w:val="TableRowCentered"/>
              <w:jc w:val="left"/>
              <w:rPr>
                <w:sz w:val="22"/>
              </w:rPr>
            </w:pPr>
            <w:r>
              <w:rPr>
                <w:sz w:val="22"/>
              </w:rPr>
              <w:t>1,3</w:t>
            </w:r>
          </w:p>
        </w:tc>
      </w:tr>
      <w:tr w:rsidR="00E66558" w14:paraId="2A7D5521"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D8862A" w:rsidR="00E66558" w:rsidRPr="00CA3E72" w:rsidRDefault="00CA3E72" w:rsidP="00CA3E72">
            <w:pPr>
              <w:pStyle w:val="TableRow"/>
              <w:ind w:left="0"/>
              <w:rPr>
                <w:sz w:val="22"/>
              </w:rPr>
            </w:pPr>
            <w:r>
              <w:rPr>
                <w:sz w:val="22"/>
              </w:rPr>
              <w:t xml:space="preserve">Refined curriculum and assessments to better identify and address gaps in understanding </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E722B92" w:rsidR="00F46EE5" w:rsidRDefault="00C26E77">
            <w:pPr>
              <w:pStyle w:val="TableRowCentered"/>
              <w:jc w:val="left"/>
              <w:rPr>
                <w:sz w:val="22"/>
              </w:rPr>
            </w:pPr>
            <w:hyperlink r:id="rId10" w:history="1">
              <w:r w:rsidR="00F46EE5" w:rsidRPr="00B860E6">
                <w:rPr>
                  <w:rStyle w:val="Hyperlink"/>
                  <w:sz w:val="22"/>
                </w:rPr>
                <w:t>https://educationendowmentfoundation.org.uk/education-evidence/guidance-reports/feedback</w:t>
              </w:r>
            </w:hyperlink>
            <w:r w:rsidR="00F46EE5">
              <w:rPr>
                <w:sz w:val="22"/>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D33973A" w:rsidR="00E66558" w:rsidRDefault="00CA3E72">
            <w:pPr>
              <w:pStyle w:val="TableRowCentered"/>
              <w:jc w:val="left"/>
              <w:rPr>
                <w:sz w:val="22"/>
              </w:rPr>
            </w:pPr>
            <w:r>
              <w:rPr>
                <w:sz w:val="22"/>
              </w:rPr>
              <w:t>1,2,4</w:t>
            </w:r>
          </w:p>
        </w:tc>
      </w:tr>
      <w:tr w:rsidR="00CA3E72" w14:paraId="7DD949FD"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512AA" w14:textId="4BD9399E" w:rsidR="00CA3E72" w:rsidRDefault="00975A81" w:rsidP="00CA3E72">
            <w:pPr>
              <w:pStyle w:val="TableRow"/>
              <w:ind w:left="0"/>
              <w:rPr>
                <w:sz w:val="22"/>
              </w:rPr>
            </w:pPr>
            <w:r>
              <w:rPr>
                <w:sz w:val="22"/>
              </w:rPr>
              <w:t>Enhanced</w:t>
            </w:r>
            <w:r w:rsidR="00CA3E72">
              <w:rPr>
                <w:sz w:val="22"/>
              </w:rPr>
              <w:t xml:space="preserve"> CPD </w:t>
            </w:r>
            <w:r>
              <w:rPr>
                <w:sz w:val="22"/>
              </w:rPr>
              <w:t xml:space="preserve">offer </w:t>
            </w:r>
            <w:r w:rsidR="00CA3E72">
              <w:rPr>
                <w:sz w:val="22"/>
              </w:rPr>
              <w:t xml:space="preserve">to enable all teachers to plan, teach and assess </w:t>
            </w:r>
            <w:r>
              <w:rPr>
                <w:sz w:val="22"/>
              </w:rPr>
              <w:t xml:space="preserve">even </w:t>
            </w:r>
            <w:r w:rsidR="00CA3E72">
              <w:rPr>
                <w:sz w:val="22"/>
              </w:rPr>
              <w:t xml:space="preserve">more effectively </w:t>
            </w:r>
          </w:p>
        </w:tc>
        <w:tc>
          <w:tcPr>
            <w:tcW w:w="5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F042" w14:textId="4B45C79F" w:rsidR="00CA3E72" w:rsidRDefault="00C26E77">
            <w:pPr>
              <w:pStyle w:val="TableRowCentered"/>
              <w:jc w:val="left"/>
              <w:rPr>
                <w:sz w:val="22"/>
              </w:rPr>
            </w:pPr>
            <w:hyperlink r:id="rId11" w:history="1">
              <w:r w:rsidR="00F46EE5" w:rsidRPr="00B860E6">
                <w:rPr>
                  <w:rStyle w:val="Hyperlink"/>
                  <w:sz w:val="22"/>
                </w:rPr>
                <w:t>https://educationendowmentfoundation.org.uk/education-evidence/guidance-reports/effective-professional-development</w:t>
              </w:r>
            </w:hyperlink>
            <w:r w:rsidR="00F46EE5">
              <w:rPr>
                <w:sz w:val="22"/>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2D384" w14:textId="485A206B" w:rsidR="00CA3E72" w:rsidRDefault="00975A81">
            <w:pPr>
              <w:pStyle w:val="TableRowCentered"/>
              <w:jc w:val="left"/>
              <w:rPr>
                <w:sz w:val="22"/>
              </w:rPr>
            </w:pPr>
            <w:r>
              <w:rPr>
                <w:sz w:val="22"/>
              </w:rPr>
              <w:t>1,2,4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F9E1638" w:rsidR="00E66558" w:rsidRDefault="009D71E8">
      <w:r>
        <w:t>Budgeted cost: £</w:t>
      </w:r>
      <w:r w:rsidR="00A4040B">
        <w:t>8</w:t>
      </w:r>
      <w:r w:rsidR="00F46EE5">
        <w:t>0,000</w:t>
      </w:r>
    </w:p>
    <w:tbl>
      <w:tblPr>
        <w:tblW w:w="5000" w:type="pct"/>
        <w:tblLayout w:type="fixed"/>
        <w:tblCellMar>
          <w:left w:w="10" w:type="dxa"/>
          <w:right w:w="10" w:type="dxa"/>
        </w:tblCellMar>
        <w:tblLook w:val="04A0" w:firstRow="1" w:lastRow="0" w:firstColumn="1" w:lastColumn="0" w:noHBand="0" w:noVBand="1"/>
      </w:tblPr>
      <w:tblGrid>
        <w:gridCol w:w="2830"/>
        <w:gridCol w:w="5123"/>
        <w:gridCol w:w="1533"/>
      </w:tblGrid>
      <w:tr w:rsidR="00E66558" w14:paraId="2A7D5528"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93FC056" w:rsidR="00E66558" w:rsidRDefault="00CA3E72" w:rsidP="00CA3E72">
            <w:pPr>
              <w:pStyle w:val="TableRow"/>
              <w:ind w:left="0"/>
            </w:pPr>
            <w:r>
              <w:t>Additional Inclusion Officer to provide increased mentoring, safeguarding and pastoral support</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EB8F5" w14:textId="77777777" w:rsidR="00CA3E72" w:rsidRDefault="00C26E77" w:rsidP="00CA3E72">
            <w:pPr>
              <w:pStyle w:val="TableRowCentered"/>
              <w:jc w:val="left"/>
              <w:rPr>
                <w:sz w:val="22"/>
              </w:rPr>
            </w:pPr>
            <w:hyperlink r:id="rId12" w:history="1">
              <w:r w:rsidR="00CA3E72" w:rsidRPr="00B860E6">
                <w:rPr>
                  <w:rStyle w:val="Hyperlink"/>
                  <w:sz w:val="22"/>
                </w:rPr>
                <w:t>https://educationendowmentfoundation.org.uk/education-evidence/guidance-reports/behaviour</w:t>
              </w:r>
            </w:hyperlink>
          </w:p>
          <w:p w14:paraId="2A7D552A" w14:textId="77777777" w:rsidR="00E66558" w:rsidRDefault="00E66558">
            <w:pPr>
              <w:pStyle w:val="TableRowCentered"/>
              <w:jc w:val="left"/>
              <w:rPr>
                <w:sz w:val="22"/>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9992B0" w:rsidR="00E66558" w:rsidRDefault="00975A81">
            <w:pPr>
              <w:pStyle w:val="TableRowCentered"/>
              <w:jc w:val="left"/>
              <w:rPr>
                <w:sz w:val="22"/>
              </w:rPr>
            </w:pPr>
            <w:r>
              <w:rPr>
                <w:sz w:val="22"/>
              </w:rPr>
              <w:t>3,4</w:t>
            </w:r>
          </w:p>
        </w:tc>
      </w:tr>
      <w:tr w:rsidR="00E66558" w14:paraId="2A7D5530"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FD003E0" w:rsidR="00E66558" w:rsidRPr="00CA3E72" w:rsidRDefault="00CA3E72" w:rsidP="00F46EE5">
            <w:pPr>
              <w:pStyle w:val="TableRow"/>
              <w:ind w:left="0"/>
              <w:rPr>
                <w:sz w:val="22"/>
              </w:rPr>
            </w:pPr>
            <w:r>
              <w:rPr>
                <w:sz w:val="22"/>
              </w:rPr>
              <w:t>Tutoring for students in need of small-group intervention</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236CE17" w:rsidR="00E66558" w:rsidRDefault="00C26E77">
            <w:pPr>
              <w:pStyle w:val="TableRowCentered"/>
              <w:jc w:val="left"/>
              <w:rPr>
                <w:sz w:val="22"/>
              </w:rPr>
            </w:pPr>
            <w:hyperlink r:id="rId13" w:history="1">
              <w:r w:rsidR="00F46EE5" w:rsidRPr="00B860E6">
                <w:rPr>
                  <w:rStyle w:val="Hyperlink"/>
                  <w:sz w:val="22"/>
                </w:rPr>
                <w:t>https://educationendowmentfoundation.org.uk/projects-and-evaluation/projects/national-tutoring-programme</w:t>
              </w:r>
            </w:hyperlink>
            <w:r w:rsidR="00F46EE5">
              <w:rPr>
                <w:sz w:val="22"/>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97DD64B" w:rsidR="00E66558" w:rsidRDefault="00F46EE5">
            <w:pPr>
              <w:pStyle w:val="TableRowCentered"/>
              <w:jc w:val="left"/>
              <w:rPr>
                <w:sz w:val="22"/>
              </w:rPr>
            </w:pPr>
            <w:r>
              <w:rPr>
                <w:sz w:val="22"/>
              </w:rPr>
              <w:t>1, 2, 4</w:t>
            </w:r>
          </w:p>
        </w:tc>
      </w:tr>
      <w:tr w:rsidR="00CA3E72" w14:paraId="4C706AAC" w14:textId="77777777" w:rsidTr="00CA3E7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B830" w14:textId="06BFD1F8" w:rsidR="00CA3E72" w:rsidRDefault="00A4040B" w:rsidP="00A4040B">
            <w:pPr>
              <w:pStyle w:val="TableRow"/>
              <w:ind w:left="0"/>
              <w:rPr>
                <w:sz w:val="22"/>
              </w:rPr>
            </w:pPr>
            <w:r>
              <w:rPr>
                <w:sz w:val="22"/>
              </w:rPr>
              <w:t>Academic mentoring for identified students</w:t>
            </w:r>
          </w:p>
        </w:tc>
        <w:tc>
          <w:tcPr>
            <w:tcW w:w="5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D2CA" w14:textId="2868C61B" w:rsidR="00CA3E72" w:rsidRDefault="00C26E77">
            <w:pPr>
              <w:pStyle w:val="TableRowCentered"/>
              <w:jc w:val="left"/>
              <w:rPr>
                <w:sz w:val="22"/>
              </w:rPr>
            </w:pPr>
            <w:hyperlink r:id="rId14" w:history="1">
              <w:r w:rsidR="00A4040B" w:rsidRPr="00B860E6">
                <w:rPr>
                  <w:rStyle w:val="Hyperlink"/>
                  <w:sz w:val="22"/>
                </w:rPr>
                <w:t>https://educationendowmentfoundation.org.uk/education-evidence/teaching-learning-toolkit/mentoring</w:t>
              </w:r>
            </w:hyperlink>
            <w:r w:rsidR="00A4040B">
              <w:rPr>
                <w:sz w:val="22"/>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88EB" w14:textId="5301338D" w:rsidR="00CA3E72" w:rsidRDefault="00A4040B">
            <w:pPr>
              <w:pStyle w:val="TableRowCentered"/>
              <w:jc w:val="left"/>
              <w:rPr>
                <w:sz w:val="22"/>
              </w:rPr>
            </w:pPr>
            <w:r>
              <w:rPr>
                <w:sz w:val="22"/>
              </w:rPr>
              <w:t>1,2,3,4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04807C7" w:rsidR="00E66558" w:rsidRDefault="009D71E8">
      <w:pPr>
        <w:spacing w:before="240" w:after="120"/>
      </w:pPr>
      <w:r>
        <w:t>Budgeted cost: £</w:t>
      </w:r>
      <w:r w:rsidR="00F46EE5" w:rsidRPr="00F46EE5">
        <w:rPr>
          <w:iCs/>
        </w:rPr>
        <w:t>80,000</w:t>
      </w:r>
    </w:p>
    <w:tbl>
      <w:tblPr>
        <w:tblW w:w="5000" w:type="pct"/>
        <w:tblLayout w:type="fixed"/>
        <w:tblCellMar>
          <w:left w:w="10" w:type="dxa"/>
          <w:right w:w="10" w:type="dxa"/>
        </w:tblCellMar>
        <w:tblLook w:val="04A0" w:firstRow="1" w:lastRow="0" w:firstColumn="1" w:lastColumn="0" w:noHBand="0" w:noVBand="1"/>
      </w:tblPr>
      <w:tblGrid>
        <w:gridCol w:w="2830"/>
        <w:gridCol w:w="5122"/>
        <w:gridCol w:w="1534"/>
      </w:tblGrid>
      <w:tr w:rsidR="00E66558" w14:paraId="2A7D5537" w14:textId="77777777" w:rsidTr="00F46EE5">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46EE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1198835" w:rsidR="00E66558" w:rsidRPr="00F46EE5" w:rsidRDefault="00F46EE5">
            <w:pPr>
              <w:pStyle w:val="TableRow"/>
            </w:pPr>
            <w:r w:rsidRPr="00F46EE5">
              <w:rPr>
                <w:iCs/>
                <w:sz w:val="22"/>
                <w:szCs w:val="22"/>
              </w:rPr>
              <w:t xml:space="preserve">Embed </w:t>
            </w:r>
            <w:r>
              <w:rPr>
                <w:iCs/>
                <w:sz w:val="22"/>
                <w:szCs w:val="22"/>
              </w:rPr>
              <w:t xml:space="preserve">updated </w:t>
            </w:r>
            <w:r w:rsidRPr="00F46EE5">
              <w:rPr>
                <w:iCs/>
                <w:sz w:val="22"/>
                <w:szCs w:val="22"/>
              </w:rPr>
              <w:t>whole-school reading and literacy strategy</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899C9C5" w:rsidR="00E66558" w:rsidRDefault="00C26E77">
            <w:pPr>
              <w:pStyle w:val="TableRowCentered"/>
              <w:jc w:val="left"/>
              <w:rPr>
                <w:sz w:val="22"/>
              </w:rPr>
            </w:pPr>
            <w:hyperlink r:id="rId15" w:history="1">
              <w:r w:rsidR="00F46EE5" w:rsidRPr="00B860E6">
                <w:rPr>
                  <w:rStyle w:val="Hyperlink"/>
                  <w:sz w:val="22"/>
                </w:rPr>
                <w:t>https://educationendowmentfoundation.org.uk/education-evidence/guidance-reports/literacy-ks3-ks4</w:t>
              </w:r>
            </w:hyperlink>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E842B" w14:textId="77777777" w:rsidR="00E66558" w:rsidRDefault="00F46EE5">
            <w:pPr>
              <w:pStyle w:val="TableRowCentered"/>
              <w:jc w:val="left"/>
              <w:rPr>
                <w:sz w:val="22"/>
              </w:rPr>
            </w:pPr>
            <w:r>
              <w:rPr>
                <w:sz w:val="22"/>
              </w:rPr>
              <w:t>1,4</w:t>
            </w:r>
          </w:p>
          <w:p w14:paraId="2A7D553A" w14:textId="44388800" w:rsidR="00F46EE5" w:rsidRDefault="00F46EE5">
            <w:pPr>
              <w:pStyle w:val="TableRowCentered"/>
              <w:jc w:val="left"/>
              <w:rPr>
                <w:sz w:val="22"/>
              </w:rPr>
            </w:pPr>
            <w:r>
              <w:rPr>
                <w:sz w:val="22"/>
              </w:rPr>
              <w:t>Likely impact on 3</w:t>
            </w:r>
          </w:p>
        </w:tc>
      </w:tr>
      <w:tr w:rsidR="00E66558" w14:paraId="2A7D553F" w14:textId="77777777" w:rsidTr="00F46EE5">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D8A74BC" w:rsidR="00E66558" w:rsidRDefault="00F46EE5">
            <w:pPr>
              <w:pStyle w:val="TableRow"/>
              <w:rPr>
                <w:i/>
                <w:sz w:val="22"/>
              </w:rPr>
            </w:pPr>
            <w:r w:rsidRPr="00F46EE5">
              <w:rPr>
                <w:sz w:val="22"/>
              </w:rPr>
              <w:t>Expand support for students at risk of exclusion/low achievement through</w:t>
            </w:r>
            <w:r>
              <w:rPr>
                <w:i/>
                <w:sz w:val="22"/>
              </w:rPr>
              <w:t xml:space="preserve"> “The Study”.</w:t>
            </w:r>
          </w:p>
        </w:tc>
        <w:tc>
          <w:tcPr>
            <w:tcW w:w="5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A4C9DC5" w:rsidR="00E66558" w:rsidRDefault="00F46EE5">
            <w:pPr>
              <w:pStyle w:val="TableRowCentered"/>
              <w:jc w:val="left"/>
              <w:rPr>
                <w:sz w:val="22"/>
              </w:rPr>
            </w:pPr>
            <w:r>
              <w:rPr>
                <w:sz w:val="22"/>
              </w:rPr>
              <w:t>1,2,3,4</w:t>
            </w:r>
          </w:p>
        </w:tc>
      </w:tr>
    </w:tbl>
    <w:p w14:paraId="2A7D5540" w14:textId="77777777" w:rsidR="00E66558" w:rsidRDefault="00E66558">
      <w:pPr>
        <w:spacing w:before="240" w:after="0"/>
        <w:rPr>
          <w:b/>
          <w:bCs/>
          <w:color w:val="104F75"/>
          <w:sz w:val="28"/>
          <w:szCs w:val="28"/>
        </w:rPr>
      </w:pPr>
    </w:p>
    <w:p w14:paraId="2A7D5541" w14:textId="57E2E49B" w:rsidR="00E66558" w:rsidRDefault="009D71E8" w:rsidP="00120AB1">
      <w:pPr>
        <w:rPr>
          <w:b/>
          <w:iCs/>
          <w:color w:val="104F75"/>
          <w:sz w:val="28"/>
          <w:szCs w:val="28"/>
        </w:rPr>
      </w:pPr>
      <w:r>
        <w:rPr>
          <w:b/>
          <w:bCs/>
          <w:color w:val="104F75"/>
          <w:sz w:val="28"/>
          <w:szCs w:val="28"/>
        </w:rPr>
        <w:t>Total budgeted cost: £</w:t>
      </w:r>
      <w:r w:rsidR="00A4040B" w:rsidRPr="00A4040B">
        <w:rPr>
          <w:b/>
          <w:iCs/>
          <w:color w:val="104F75"/>
          <w:sz w:val="28"/>
          <w:szCs w:val="28"/>
        </w:rPr>
        <w:t>210,000</w:t>
      </w:r>
    </w:p>
    <w:p w14:paraId="3668E095" w14:textId="59481234" w:rsidR="00A4040B" w:rsidRDefault="00A4040B" w:rsidP="00120AB1">
      <w:r>
        <w:t xml:space="preserve">Note that the tutoring programme is designed to run over several years.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58639A4A" w14:textId="77777777" w:rsidR="00C25A8B" w:rsidRPr="00C25A8B" w:rsidRDefault="00C25A8B" w:rsidP="00C25A8B">
            <w:pPr>
              <w:pStyle w:val="Default"/>
              <w:rPr>
                <w:sz w:val="22"/>
                <w:szCs w:val="22"/>
              </w:rPr>
            </w:pPr>
            <w:proofErr w:type="gramStart"/>
            <w:r w:rsidRPr="00C25A8B">
              <w:rPr>
                <w:iCs/>
                <w:sz w:val="23"/>
                <w:szCs w:val="23"/>
              </w:rPr>
              <w:t xml:space="preserve">A </w:t>
            </w:r>
            <w:r w:rsidRPr="00C25A8B">
              <w:rPr>
                <w:iCs/>
                <w:sz w:val="22"/>
                <w:szCs w:val="22"/>
              </w:rPr>
              <w:t>number of</w:t>
            </w:r>
            <w:proofErr w:type="gramEnd"/>
            <w:r w:rsidRPr="00C25A8B">
              <w:rPr>
                <w:iCs/>
                <w:sz w:val="22"/>
                <w:szCs w:val="22"/>
              </w:rPr>
              <w:t xml:space="preserve"> our planned strategies were not fully implemented due to Coved 19 restrictions and partial school closures. Our resources were diverted to support acute and unplanned need arising from the pandemic. </w:t>
            </w:r>
          </w:p>
          <w:p w14:paraId="0022DFF4" w14:textId="53357F55" w:rsidR="00C25A8B" w:rsidRPr="00C25A8B" w:rsidRDefault="00C25A8B" w:rsidP="00C25A8B">
            <w:pPr>
              <w:pStyle w:val="Default"/>
              <w:numPr>
                <w:ilvl w:val="0"/>
                <w:numId w:val="1"/>
              </w:numPr>
              <w:rPr>
                <w:rFonts w:ascii="Times New Roman" w:hAnsi="Times New Roman"/>
                <w:color w:val="auto"/>
                <w:sz w:val="22"/>
                <w:szCs w:val="22"/>
              </w:rPr>
            </w:pPr>
            <w:r w:rsidRPr="00C25A8B">
              <w:rPr>
                <w:iCs/>
                <w:sz w:val="22"/>
                <w:szCs w:val="22"/>
              </w:rPr>
              <w:t xml:space="preserve">Although national assessments were cancelled in 2020/21, our school assessments demonstrated that disadvantaged </w:t>
            </w:r>
            <w:r w:rsidR="00A4040B">
              <w:rPr>
                <w:iCs/>
                <w:sz w:val="22"/>
                <w:szCs w:val="22"/>
              </w:rPr>
              <w:t>student</w:t>
            </w:r>
            <w:r w:rsidRPr="00C25A8B">
              <w:rPr>
                <w:iCs/>
                <w:sz w:val="22"/>
                <w:szCs w:val="22"/>
              </w:rPr>
              <w:t xml:space="preserve"> performance </w:t>
            </w:r>
            <w:r w:rsidR="00A4040B">
              <w:rPr>
                <w:iCs/>
                <w:sz w:val="22"/>
                <w:szCs w:val="22"/>
              </w:rPr>
              <w:t xml:space="preserve">improved in most of the target areas. </w:t>
            </w:r>
          </w:p>
          <w:p w14:paraId="3AA4D903" w14:textId="60A380A5" w:rsidR="00E66558" w:rsidRPr="00A4040B" w:rsidRDefault="00E66558">
            <w:pPr>
              <w:rPr>
                <w:sz w:val="22"/>
              </w:rPr>
            </w:pPr>
          </w:p>
          <w:p w14:paraId="7B8B1367" w14:textId="7ED8F993" w:rsidR="00DA1DB5" w:rsidRPr="00A4040B" w:rsidRDefault="00DA1DB5">
            <w:pPr>
              <w:rPr>
                <w:b/>
                <w:sz w:val="22"/>
              </w:rPr>
            </w:pPr>
            <w:r w:rsidRPr="00A4040B">
              <w:rPr>
                <w:b/>
                <w:sz w:val="22"/>
              </w:rPr>
              <w:t>Achievement</w:t>
            </w:r>
          </w:p>
          <w:p w14:paraId="7321B55F" w14:textId="55455A3C" w:rsidR="006825CE" w:rsidRPr="00A4040B" w:rsidRDefault="006825CE">
            <w:pPr>
              <w:rPr>
                <w:sz w:val="22"/>
              </w:rPr>
            </w:pPr>
            <w:r w:rsidRPr="00A4040B">
              <w:rPr>
                <w:sz w:val="22"/>
              </w:rPr>
              <w:t>Our internally-calculated Progress 8 score* for disadvantaged students was -0.18 compared to the whole cohort progress 8 of +0.</w:t>
            </w:r>
            <w:r w:rsidR="00DA1DB5" w:rsidRPr="00A4040B">
              <w:rPr>
                <w:sz w:val="22"/>
              </w:rPr>
              <w:t xml:space="preserve">19.  This is an improvement and a narrowing of the national gap from 2019 where the progress 8 of disadvantaged students was -0.41.  This area has seen consistent success in the last two years but it must be recognised that students did not sit the normal full examination suite in the summers of 2020 and 2021. </w:t>
            </w:r>
          </w:p>
          <w:p w14:paraId="3B3D1F6E" w14:textId="0719D01D" w:rsidR="006825CE" w:rsidRPr="00A4040B" w:rsidRDefault="006825CE">
            <w:pPr>
              <w:rPr>
                <w:sz w:val="22"/>
              </w:rPr>
            </w:pPr>
            <w:r w:rsidRPr="00A4040B">
              <w:rPr>
                <w:sz w:val="22"/>
              </w:rPr>
              <w:t>*Using 2019 national data</w:t>
            </w:r>
            <w:r w:rsidR="00DA1DB5" w:rsidRPr="00A4040B">
              <w:rPr>
                <w:sz w:val="22"/>
              </w:rPr>
              <w:t xml:space="preserve"> for comparison</w:t>
            </w:r>
            <w:r w:rsidRPr="00A4040B">
              <w:rPr>
                <w:sz w:val="22"/>
              </w:rPr>
              <w:t xml:space="preserve">.  </w:t>
            </w:r>
          </w:p>
          <w:p w14:paraId="04518E01" w14:textId="38F69800" w:rsidR="00DA1DB5" w:rsidRPr="00A4040B" w:rsidRDefault="00DA1DB5">
            <w:pPr>
              <w:rPr>
                <w:b/>
                <w:sz w:val="22"/>
              </w:rPr>
            </w:pPr>
            <w:r w:rsidRPr="00A4040B">
              <w:rPr>
                <w:b/>
                <w:sz w:val="22"/>
              </w:rPr>
              <w:t xml:space="preserve">Attainment </w:t>
            </w:r>
          </w:p>
          <w:p w14:paraId="67320B3E" w14:textId="69807EEE" w:rsidR="00DA1DB5" w:rsidRPr="00A4040B" w:rsidRDefault="00DA1DB5">
            <w:pPr>
              <w:rPr>
                <w:sz w:val="22"/>
              </w:rPr>
            </w:pPr>
            <w:r w:rsidRPr="00A4040B">
              <w:rPr>
                <w:sz w:val="22"/>
              </w:rPr>
              <w:t>34% of disadvantaged students achieved Grade 5+ in both English and Maths compared to the whole cohort score of 47%.  This is a</w:t>
            </w:r>
            <w:r w:rsidR="000E367C" w:rsidRPr="00A4040B">
              <w:rPr>
                <w:sz w:val="22"/>
              </w:rPr>
              <w:t xml:space="preserve">n </w:t>
            </w:r>
            <w:r w:rsidRPr="00A4040B">
              <w:rPr>
                <w:sz w:val="22"/>
              </w:rPr>
              <w:t>improvement on 2020</w:t>
            </w:r>
            <w:r w:rsidR="000E367C" w:rsidRPr="00A4040B">
              <w:rPr>
                <w:sz w:val="22"/>
              </w:rPr>
              <w:t xml:space="preserve"> (24%)</w:t>
            </w:r>
            <w:r w:rsidRPr="00A4040B">
              <w:rPr>
                <w:sz w:val="22"/>
              </w:rPr>
              <w:t xml:space="preserve"> and 2019 </w:t>
            </w:r>
            <w:r w:rsidR="000E367C" w:rsidRPr="00A4040B">
              <w:rPr>
                <w:sz w:val="22"/>
              </w:rPr>
              <w:t xml:space="preserve">(27%) </w:t>
            </w:r>
            <w:r w:rsidRPr="00A4040B">
              <w:rPr>
                <w:sz w:val="22"/>
              </w:rPr>
              <w:t xml:space="preserve">but remains a key focus. </w:t>
            </w:r>
          </w:p>
          <w:p w14:paraId="2EC5F6B3" w14:textId="77777777" w:rsidR="00DA1DB5" w:rsidRPr="00A4040B" w:rsidRDefault="00DA1DB5">
            <w:pPr>
              <w:rPr>
                <w:b/>
                <w:sz w:val="22"/>
              </w:rPr>
            </w:pPr>
            <w:r w:rsidRPr="00A4040B">
              <w:rPr>
                <w:b/>
                <w:sz w:val="22"/>
              </w:rPr>
              <w:t>Attendance</w:t>
            </w:r>
          </w:p>
          <w:p w14:paraId="6977A13F" w14:textId="77777777" w:rsidR="00DA1DB5" w:rsidRPr="00A4040B" w:rsidRDefault="00DA1DB5">
            <w:pPr>
              <w:rPr>
                <w:sz w:val="22"/>
              </w:rPr>
            </w:pPr>
            <w:r w:rsidRPr="00A4040B">
              <w:rPr>
                <w:sz w:val="22"/>
              </w:rPr>
              <w:t xml:space="preserve">The severe disruption to the last two academic years renders review of our attendance ambitions unhelpful.  It remains clear that disadvantaged students suffered more disruption due to lockdown and engaged less well with remote learning.  </w:t>
            </w:r>
          </w:p>
          <w:p w14:paraId="45666FB8" w14:textId="77777777" w:rsidR="000E367C" w:rsidRPr="00A4040B" w:rsidRDefault="000E367C">
            <w:pPr>
              <w:rPr>
                <w:b/>
                <w:sz w:val="22"/>
              </w:rPr>
            </w:pPr>
            <w:r w:rsidRPr="00A4040B">
              <w:rPr>
                <w:b/>
                <w:sz w:val="22"/>
              </w:rPr>
              <w:t>Improved literacy</w:t>
            </w:r>
          </w:p>
          <w:p w14:paraId="2A7D5546" w14:textId="722343B3" w:rsidR="000E367C" w:rsidRDefault="000E367C">
            <w:r w:rsidRPr="00A4040B">
              <w:rPr>
                <w:sz w:val="22"/>
              </w:rPr>
              <w:t xml:space="preserve">Repeated lockdowns during the pandemic prevented implementation of much of our intended strategy.  These have been updated and refined and re-introduced in 2021.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893CF2B" w:rsidR="00E66558" w:rsidRDefault="00C61335">
            <w:pPr>
              <w:pStyle w:val="TableRow"/>
            </w:pPr>
            <w:r>
              <w:t>Lexia</w:t>
            </w:r>
            <w:r w:rsidR="00212955">
              <w:t xml:space="preserve"> </w:t>
            </w:r>
            <w:r w:rsidR="00243E4C">
              <w:t>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AA17673" w:rsidR="00E66558" w:rsidRDefault="00243E4C">
            <w:pPr>
              <w:pStyle w:val="TableRow"/>
            </w:pPr>
            <w:r>
              <w:t xml:space="preserve">Hackney Literacy Project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C61335" w14:paraId="3A2B1E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5CE2" w14:textId="2C51E74B" w:rsidR="00C61335" w:rsidRDefault="00C26E77">
            <w:pPr>
              <w:pStyle w:val="TableRow"/>
            </w:pPr>
            <w:r>
              <w:t>New Group</w:t>
            </w:r>
            <w:r w:rsidR="00212955">
              <w:t xml:space="preserve"> Reading Test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286F" w14:textId="714AC0B0" w:rsidR="00C61335" w:rsidRDefault="00C26E77">
            <w:pPr>
              <w:pStyle w:val="TableRowCentered"/>
              <w:jc w:val="left"/>
            </w:pPr>
            <w:r>
              <w:t>GL Assessment</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97F6D26"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19DF64F0" w14:textId="6F216790" w:rsidR="00212955" w:rsidRPr="00212955" w:rsidRDefault="00212955">
            <w:pPr>
              <w:spacing w:before="120" w:after="120"/>
              <w:rPr>
                <w:rFonts w:cs="Arial"/>
                <w:iCs/>
              </w:rPr>
            </w:pPr>
            <w:r w:rsidRPr="00212955">
              <w:rPr>
                <w:rFonts w:cs="Arial"/>
                <w:iCs/>
              </w:rPr>
              <w:t xml:space="preserve">In devising our </w:t>
            </w:r>
            <w:proofErr w:type="gramStart"/>
            <w:r w:rsidRPr="00212955">
              <w:rPr>
                <w:rFonts w:cs="Arial"/>
                <w:iCs/>
              </w:rPr>
              <w:t>strategy</w:t>
            </w:r>
            <w:proofErr w:type="gramEnd"/>
            <w:r w:rsidRPr="00212955">
              <w:rPr>
                <w:rFonts w:cs="Arial"/>
                <w:iCs/>
              </w:rPr>
              <w:t xml:space="preserve"> we have reviewed the current literature, particularly </w:t>
            </w:r>
            <w:r>
              <w:rPr>
                <w:rFonts w:cs="Arial"/>
                <w:iCs/>
              </w:rPr>
              <w:t xml:space="preserve">research </w:t>
            </w:r>
            <w:r w:rsidRPr="00212955">
              <w:rPr>
                <w:rFonts w:cs="Arial"/>
                <w:iCs/>
              </w:rPr>
              <w:t xml:space="preserve">from the EEF, and commissioned annual external reviews from Marc Rowland. </w:t>
            </w:r>
          </w:p>
          <w:p w14:paraId="5ED5BEC3" w14:textId="2E168298" w:rsidR="00212955" w:rsidRDefault="00212955">
            <w:pPr>
              <w:spacing w:before="120" w:after="120"/>
              <w:rPr>
                <w:iCs/>
              </w:rPr>
            </w:pPr>
            <w:r>
              <w:rPr>
                <w:iCs/>
              </w:rPr>
              <w:t>We are aware that to have maximum impact on students’ achievement we must focus our efforts on the challenges we can most easily affect- such as reading- and spend fewer resources on challenges schools have little influence on.</w:t>
            </w:r>
          </w:p>
          <w:p w14:paraId="4E9C7238" w14:textId="77777777" w:rsidR="00212955" w:rsidRDefault="00212955">
            <w:pPr>
              <w:spacing w:before="120" w:after="120"/>
              <w:rPr>
                <w:iCs/>
              </w:rPr>
            </w:pPr>
            <w:r>
              <w:rPr>
                <w:iCs/>
              </w:rPr>
              <w:t>We fully recognise that the challenge of “disadvantage” is different for every pupil and our interventions must be fitted to the student and not the other way around.</w:t>
            </w:r>
          </w:p>
          <w:p w14:paraId="73B72B41" w14:textId="5BF4D3FA" w:rsidR="00E66558" w:rsidRPr="00212955" w:rsidRDefault="00212955">
            <w:pPr>
              <w:spacing w:before="120" w:after="120"/>
              <w:rPr>
                <w:iCs/>
              </w:rPr>
            </w:pPr>
            <w:r>
              <w:rPr>
                <w:iCs/>
              </w:rPr>
              <w:t xml:space="preserve">Not </w:t>
            </w:r>
            <w:proofErr w:type="gramStart"/>
            <w:r>
              <w:rPr>
                <w:iCs/>
              </w:rPr>
              <w:t>all of</w:t>
            </w:r>
            <w:proofErr w:type="gramEnd"/>
            <w:r>
              <w:rPr>
                <w:iCs/>
              </w:rPr>
              <w:t xml:space="preserve"> the students we consider to be disadvantaged are in receipt of the Pupil Premium.  Where our strategy positively affects all </w:t>
            </w:r>
            <w:proofErr w:type="gramStart"/>
            <w:r>
              <w:rPr>
                <w:iCs/>
              </w:rPr>
              <w:t>students</w:t>
            </w:r>
            <w:proofErr w:type="gramEnd"/>
            <w:r>
              <w:rPr>
                <w:iCs/>
              </w:rPr>
              <w:t xml:space="preserve"> we anticipate a disproportionately positive effect for disadvantaged students.  </w:t>
            </w:r>
          </w:p>
          <w:p w14:paraId="2A7D5562" w14:textId="2B8DA31C" w:rsidR="00212955" w:rsidRDefault="00212955">
            <w:pPr>
              <w:spacing w:before="120" w:after="120"/>
              <w:rPr>
                <w:i/>
                <w:iCs/>
              </w:rPr>
            </w:pPr>
          </w:p>
        </w:tc>
      </w:tr>
      <w:bookmarkEnd w:id="14"/>
      <w:bookmarkEnd w:id="15"/>
      <w:bookmarkEnd w:id="17"/>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26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512D"/>
    <w:multiLevelType w:val="hybridMultilevel"/>
    <w:tmpl w:val="FD4C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8D4E65"/>
    <w:multiLevelType w:val="hybridMultilevel"/>
    <w:tmpl w:val="5840E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CB858F2"/>
    <w:multiLevelType w:val="hybridMultilevel"/>
    <w:tmpl w:val="F112EFDC"/>
    <w:lvl w:ilvl="0" w:tplc="FFFFFFFF">
      <w:start w:val="1"/>
      <w:numFmt w:val="bullet"/>
      <w:lvlText w:val="•"/>
      <w:lvlJc w:val="left"/>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5"/>
  </w:num>
  <w:num w:numId="9">
    <w:abstractNumId w:val="13"/>
  </w:num>
  <w:num w:numId="10">
    <w:abstractNumId w:val="11"/>
  </w:num>
  <w:num w:numId="11">
    <w:abstractNumId w:val="3"/>
  </w:num>
  <w:num w:numId="12">
    <w:abstractNumId w:val="14"/>
  </w:num>
  <w:num w:numId="13">
    <w:abstractNumId w:val="8"/>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36B"/>
    <w:rsid w:val="000102D7"/>
    <w:rsid w:val="00066B73"/>
    <w:rsid w:val="000E367C"/>
    <w:rsid w:val="000E36FC"/>
    <w:rsid w:val="00120AB1"/>
    <w:rsid w:val="001535B1"/>
    <w:rsid w:val="001B600D"/>
    <w:rsid w:val="00212955"/>
    <w:rsid w:val="00216E56"/>
    <w:rsid w:val="00243E4C"/>
    <w:rsid w:val="002E3C09"/>
    <w:rsid w:val="00343287"/>
    <w:rsid w:val="003D7242"/>
    <w:rsid w:val="004044AA"/>
    <w:rsid w:val="005E12E4"/>
    <w:rsid w:val="006825CE"/>
    <w:rsid w:val="006E7FB1"/>
    <w:rsid w:val="006F1A9C"/>
    <w:rsid w:val="00741B9E"/>
    <w:rsid w:val="007C2F04"/>
    <w:rsid w:val="00975A81"/>
    <w:rsid w:val="00981BF0"/>
    <w:rsid w:val="009D71E8"/>
    <w:rsid w:val="00A2375B"/>
    <w:rsid w:val="00A4040B"/>
    <w:rsid w:val="00BB58C3"/>
    <w:rsid w:val="00C25A8B"/>
    <w:rsid w:val="00C26E77"/>
    <w:rsid w:val="00C307DC"/>
    <w:rsid w:val="00C61335"/>
    <w:rsid w:val="00CA3E72"/>
    <w:rsid w:val="00CF70E9"/>
    <w:rsid w:val="00D17C06"/>
    <w:rsid w:val="00D33FE5"/>
    <w:rsid w:val="00DA1DB5"/>
    <w:rsid w:val="00DB7738"/>
    <w:rsid w:val="00E66558"/>
    <w:rsid w:val="00EB7C20"/>
    <w:rsid w:val="00F46EE5"/>
    <w:rsid w:val="00FD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3D7242"/>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educationendowmentfoundation.org.uk/projects-and-evaluation/projects/national-tutoring-program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education-evidence/guidance-reports/behaviou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effective-professional-development"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literacy-ks3-ks4" TargetMode="External"/><Relationship Id="rId10" Type="http://schemas.openxmlformats.org/officeDocument/2006/relationships/hyperlink" Target="https://educationendowmentfoundation.org.uk/education-evidence/guidance-reports/feedb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behaviour" TargetMode="External"/><Relationship Id="rId14" Type="http://schemas.openxmlformats.org/officeDocument/2006/relationships/hyperlink" Target="https://educationendowmentfoundation.org.uk/education-evidence/teaching-learning-toolkit/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 Geall</cp:lastModifiedBy>
  <cp:revision>11</cp:revision>
  <cp:lastPrinted>2014-09-17T13:26:00Z</cp:lastPrinted>
  <dcterms:created xsi:type="dcterms:W3CDTF">2021-10-31T12:46:00Z</dcterms:created>
  <dcterms:modified xsi:type="dcterms:W3CDTF">2021-11-23T19:22:00Z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